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原版宋体" w:hAnsi="原版宋体" w:eastAsia="黑体" w:cs="Nimbus Roman No9 L"/>
          <w:szCs w:val="44"/>
        </w:rPr>
      </w:pPr>
      <w:bookmarkStart w:id="0" w:name="_GoBack"/>
      <w:bookmarkEnd w:id="0"/>
      <w:r>
        <w:rPr>
          <w:rFonts w:ascii="原版宋体" w:hAnsi="原版宋体" w:eastAsia="黑体" w:cs="Nimbus Roman No9 L"/>
          <w:szCs w:val="44"/>
        </w:rPr>
        <w:t>附</w:t>
      </w:r>
      <w:r>
        <w:rPr>
          <w:rFonts w:hint="eastAsia" w:ascii="原版宋体" w:hAnsi="原版宋体" w:eastAsia="黑体" w:cs="Nimbus Roman No9 L"/>
          <w:szCs w:val="44"/>
        </w:rPr>
        <w:t>件</w:t>
      </w:r>
    </w:p>
    <w:p>
      <w:pPr>
        <w:pStyle w:val="2"/>
        <w:ind w:left="3179"/>
      </w:pPr>
    </w:p>
    <w:p>
      <w:pPr>
        <w:spacing w:afterLines="5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湖南省“减盐减油”三年行动计划主要目标</w:t>
      </w:r>
    </w:p>
    <w:tbl>
      <w:tblPr>
        <w:tblStyle w:val="8"/>
        <w:tblW w:w="0" w:type="auto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854"/>
        <w:gridCol w:w="763"/>
        <w:gridCol w:w="1265"/>
        <w:gridCol w:w="1675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15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ascii="原版宋体" w:hAnsi="原版宋体" w:eastAsia="黑体" w:cs="Nimbus Roman No9 L"/>
                <w:sz w:val="24"/>
                <w:szCs w:val="24"/>
              </w:rPr>
              <w:t>序号</w:t>
            </w:r>
          </w:p>
        </w:tc>
        <w:tc>
          <w:tcPr>
            <w:tcW w:w="3854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ascii="原版宋体" w:hAnsi="原版宋体" w:eastAsia="黑体" w:cs="Nimbus Roman No9 L"/>
                <w:sz w:val="24"/>
                <w:szCs w:val="24"/>
              </w:rPr>
              <w:t>指标名称</w:t>
            </w:r>
          </w:p>
        </w:tc>
        <w:tc>
          <w:tcPr>
            <w:tcW w:w="763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ascii="原版宋体" w:hAnsi="原版宋体" w:eastAsia="黑体" w:cs="Nimbus Roman No9 L"/>
                <w:sz w:val="24"/>
                <w:szCs w:val="24"/>
              </w:rPr>
              <w:t>单位</w:t>
            </w:r>
          </w:p>
        </w:tc>
        <w:tc>
          <w:tcPr>
            <w:tcW w:w="1265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eastAsia="黑体" w:cs="Nimbus Roman No9 L"/>
                <w:sz w:val="24"/>
                <w:szCs w:val="24"/>
              </w:rPr>
              <w:t>2025</w:t>
            </w:r>
            <w:r>
              <w:rPr>
                <w:rFonts w:ascii="原版宋体" w:hAnsi="原版宋体" w:eastAsia="黑体" w:cs="Nimbus Roman No9 L"/>
                <w:sz w:val="24"/>
                <w:szCs w:val="24"/>
              </w:rPr>
              <w:t>年</w:t>
            </w:r>
          </w:p>
        </w:tc>
        <w:tc>
          <w:tcPr>
            <w:tcW w:w="1675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eastAsia="黑体" w:cs="Nimbus Roman No9 L"/>
                <w:sz w:val="24"/>
                <w:szCs w:val="24"/>
              </w:rPr>
              <w:t>2026</w:t>
            </w:r>
            <w:r>
              <w:rPr>
                <w:rFonts w:ascii="原版宋体" w:hAnsi="原版宋体" w:eastAsia="黑体" w:cs="Nimbus Roman No9 L"/>
                <w:sz w:val="24"/>
                <w:szCs w:val="24"/>
              </w:rPr>
              <w:t>年</w:t>
            </w:r>
          </w:p>
        </w:tc>
        <w:tc>
          <w:tcPr>
            <w:tcW w:w="1488" w:type="dxa"/>
            <w:vAlign w:val="center"/>
          </w:tcPr>
          <w:p>
            <w:pPr>
              <w:spacing w:line="240" w:lineRule="atLeast"/>
              <w:jc w:val="center"/>
              <w:rPr>
                <w:rFonts w:ascii="原版宋体" w:hAnsi="原版宋体" w:eastAsia="黑体" w:cs="Nimbus Roman No9 L"/>
                <w:sz w:val="24"/>
                <w:szCs w:val="24"/>
              </w:rPr>
            </w:pPr>
            <w:r>
              <w:rPr>
                <w:rFonts w:eastAsia="黑体" w:cs="Nimbus Roman No9 L"/>
                <w:sz w:val="24"/>
                <w:szCs w:val="24"/>
              </w:rPr>
              <w:t>2027</w:t>
            </w:r>
            <w:r>
              <w:rPr>
                <w:rFonts w:ascii="原版宋体" w:hAnsi="原版宋体" w:eastAsia="黑体" w:cs="Nimbus Roman No9 L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1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人均每日食盐和食用油摄入量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cs="Nimbus Roman No9 L"/>
                <w:sz w:val="24"/>
                <w:szCs w:val="24"/>
              </w:rPr>
              <w:t>g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—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较</w:t>
            </w:r>
            <w:r>
              <w:rPr>
                <w:rFonts w:hint="eastAsia" w:cs="Nimbus Roman No9 L"/>
                <w:sz w:val="24"/>
                <w:szCs w:val="24"/>
              </w:rPr>
              <w:t>2024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年</w:t>
            </w:r>
          </w:p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下降</w:t>
            </w:r>
            <w:r>
              <w:rPr>
                <w:rFonts w:hint="eastAsia" w:cs="Nimbus Roman No9 L"/>
                <w:sz w:val="24"/>
                <w:szCs w:val="24"/>
              </w:rPr>
              <w:t>0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.</w:t>
            </w:r>
            <w:r>
              <w:rPr>
                <w:rFonts w:hint="eastAsia" w:cs="Nimbus Roman No9 L"/>
                <w:sz w:val="24"/>
                <w:szCs w:val="24"/>
              </w:rPr>
              <w:t>6g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/</w:t>
            </w:r>
            <w:r>
              <w:rPr>
                <w:rFonts w:hint="eastAsia" w:cs="Nimbus Roman No9 L"/>
                <w:sz w:val="24"/>
                <w:szCs w:val="24"/>
              </w:rPr>
              <w:t>2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.</w:t>
            </w:r>
            <w:r>
              <w:rPr>
                <w:rFonts w:hint="eastAsia" w:cs="Nimbus Roman No9 L"/>
                <w:sz w:val="24"/>
                <w:szCs w:val="24"/>
              </w:rPr>
              <w:t>5g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较</w:t>
            </w:r>
            <w:r>
              <w:rPr>
                <w:rFonts w:hint="eastAsia" w:cs="Nimbus Roman No9 L"/>
                <w:sz w:val="24"/>
                <w:szCs w:val="24"/>
              </w:rPr>
              <w:t>2024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年</w:t>
            </w:r>
          </w:p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下降</w:t>
            </w:r>
            <w:r>
              <w:rPr>
                <w:rFonts w:hint="eastAsia" w:cs="Nimbus Roman No9 L"/>
                <w:sz w:val="24"/>
                <w:szCs w:val="24"/>
              </w:rPr>
              <w:t>1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.</w:t>
            </w:r>
            <w:r>
              <w:rPr>
                <w:rFonts w:hint="eastAsia" w:cs="Nimbus Roman No9 L"/>
                <w:sz w:val="24"/>
                <w:szCs w:val="24"/>
              </w:rPr>
              <w:t>2g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/</w:t>
            </w:r>
            <w:r>
              <w:rPr>
                <w:rFonts w:hint="eastAsia" w:cs="Nimbus Roman No9 L"/>
                <w:sz w:val="24"/>
                <w:szCs w:val="24"/>
              </w:rPr>
              <w:t>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2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居民肥胖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率</w:t>
            </w:r>
            <w:r>
              <w:rPr>
                <w:rFonts w:ascii="原版宋体" w:hAnsi="原版宋体" w:cs="Nimbus Roman No9 L"/>
                <w:sz w:val="24"/>
                <w:szCs w:val="24"/>
              </w:rPr>
              <w:t>、高血压</w:t>
            </w:r>
            <w:r>
              <w:rPr>
                <w:rFonts w:hint="eastAsia" w:ascii="原版宋体" w:hAnsi="原版宋体" w:cs="Nimbus Roman No9 L"/>
                <w:sz w:val="24"/>
                <w:szCs w:val="24"/>
              </w:rPr>
              <w:t>患病率</w:t>
            </w:r>
            <w:r>
              <w:rPr>
                <w:rFonts w:ascii="原版宋体" w:hAnsi="原版宋体" w:cs="Nimbus Roman No9 L"/>
                <w:sz w:val="24"/>
                <w:szCs w:val="24"/>
              </w:rPr>
              <w:t>的增长速度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有所减缓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有所减缓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有所减缓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3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每万人营养健康指导员人数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人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0</w:t>
            </w:r>
            <w:r>
              <w:rPr>
                <w:rFonts w:ascii="原版宋体" w:hAnsi="原版宋体" w:cs="Nimbus Roman No9 L"/>
                <w:sz w:val="24"/>
                <w:szCs w:val="24"/>
              </w:rPr>
              <w:t>.</w:t>
            </w:r>
            <w:r>
              <w:rPr>
                <w:rFonts w:cs="Nimbus Roman No9 L"/>
                <w:sz w:val="24"/>
                <w:szCs w:val="24"/>
              </w:rPr>
              <w:t>6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0</w:t>
            </w:r>
            <w:r>
              <w:rPr>
                <w:rFonts w:ascii="原版宋体" w:hAnsi="原版宋体" w:cs="Nimbus Roman No9 L"/>
                <w:sz w:val="24"/>
                <w:szCs w:val="24"/>
              </w:rPr>
              <w:t>.</w:t>
            </w:r>
            <w:r>
              <w:rPr>
                <w:rFonts w:cs="Nimbus Roman No9 L"/>
                <w:sz w:val="24"/>
                <w:szCs w:val="24"/>
              </w:rPr>
              <w:t>8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4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居民营养健康知识知晓率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—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hint="eastAsia" w:cs="Nimbus Roman No9 L"/>
                <w:sz w:val="24"/>
                <w:szCs w:val="24"/>
              </w:rPr>
              <w:t>28</w:t>
            </w: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hint="eastAsia" w:cs="Nimbus Roman No9 L"/>
                <w:sz w:val="24"/>
                <w:szCs w:val="24"/>
              </w:rPr>
              <w:t>32</w:t>
            </w:r>
            <w:r>
              <w:rPr>
                <w:rFonts w:cs="Nimbus Roman No9 L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kern w:val="2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居民健康素养水平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hint="eastAsia" w:cs="Nimbus Roman No9 L"/>
                <w:sz w:val="24"/>
                <w:szCs w:val="24"/>
              </w:rPr>
              <w:t>35</w:t>
            </w: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hint="eastAsia" w:cs="Nimbus Roman No9 L"/>
                <w:sz w:val="24"/>
                <w:szCs w:val="24"/>
              </w:rPr>
              <w:t>38</w:t>
            </w: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hint="eastAsia" w:cs="Nimbus Roman No9 L"/>
                <w:sz w:val="24"/>
                <w:szCs w:val="24"/>
              </w:rPr>
              <w:t>40</w:t>
            </w:r>
            <w:r>
              <w:rPr>
                <w:rFonts w:cs="Nimbus Roman No9 L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kern w:val="2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6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二级以上医疗机构营养科配备率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cs="Nimbus Roman No9 L"/>
                <w:sz w:val="24"/>
                <w:szCs w:val="24"/>
              </w:rPr>
              <w:t>10%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cs="Nimbus Roman No9 L"/>
                <w:sz w:val="24"/>
                <w:szCs w:val="24"/>
              </w:rPr>
              <w:t>40%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≥</w:t>
            </w:r>
            <w:r>
              <w:rPr>
                <w:rFonts w:cs="Nimbus Roman No9 L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kern w:val="2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7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营养健康场所（食堂、餐厅、学校）建设数量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hint="eastAsia" w:ascii="原版宋体" w:hAnsi="原版宋体" w:cs="Nimbus Roman No9 L"/>
                <w:sz w:val="24"/>
                <w:szCs w:val="24"/>
              </w:rPr>
              <w:t>家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500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500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kern w:val="2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8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“减盐减油”科普宣传活动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场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200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200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kern w:val="2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9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“减盐减油”纳入中小学校健康教育课程学校覆盖率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%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30%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50%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10</w:t>
            </w:r>
          </w:p>
        </w:tc>
        <w:tc>
          <w:tcPr>
            <w:tcW w:w="3854" w:type="dxa"/>
            <w:vAlign w:val="center"/>
          </w:tcPr>
          <w:p>
            <w:pPr>
              <w:spacing w:line="420" w:lineRule="exact"/>
              <w:jc w:val="left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研制和推广“减盐减油”健康新湘菜菜品</w:t>
            </w:r>
          </w:p>
        </w:tc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ascii="原版宋体" w:hAnsi="原版宋体" w:cs="Nimbus Roman No9 L"/>
                <w:sz w:val="24"/>
                <w:szCs w:val="24"/>
              </w:rPr>
              <w:t>道</w:t>
            </w:r>
          </w:p>
        </w:tc>
        <w:tc>
          <w:tcPr>
            <w:tcW w:w="126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</w:t>
            </w:r>
          </w:p>
        </w:tc>
        <w:tc>
          <w:tcPr>
            <w:tcW w:w="1675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50</w:t>
            </w:r>
          </w:p>
        </w:tc>
        <w:tc>
          <w:tcPr>
            <w:tcW w:w="1488" w:type="dxa"/>
            <w:vAlign w:val="center"/>
          </w:tcPr>
          <w:p>
            <w:pPr>
              <w:spacing w:line="420" w:lineRule="exact"/>
              <w:jc w:val="center"/>
              <w:rPr>
                <w:rFonts w:ascii="原版宋体" w:hAnsi="原版宋体" w:cs="Nimbus Roman No9 L"/>
                <w:sz w:val="24"/>
                <w:szCs w:val="24"/>
              </w:rPr>
            </w:pPr>
            <w:r>
              <w:rPr>
                <w:rFonts w:cs="Nimbus Roman No9 L"/>
                <w:sz w:val="24"/>
                <w:szCs w:val="24"/>
              </w:rPr>
              <w:t>100</w:t>
            </w:r>
          </w:p>
        </w:tc>
      </w:tr>
    </w:tbl>
    <w:p>
      <w:pPr>
        <w:rPr>
          <w:rFonts w:ascii="原版宋体" w:hAnsi="原版宋体" w:cs="Nimbus Roman No9 L"/>
          <w:sz w:val="30"/>
          <w:szCs w:val="30"/>
        </w:rPr>
      </w:pPr>
    </w:p>
    <w:p>
      <w:pPr>
        <w:adjustRightInd w:val="0"/>
        <w:snapToGrid w:val="0"/>
        <w:spacing w:line="700" w:lineRule="exact"/>
        <w:jc w:val="center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7" w:bottom="1417" w:left="1417" w:header="851" w:footer="992" w:gutter="0"/>
      <w:cols w:space="0" w:num="1"/>
      <w:docGrid w:type="linesAndChars" w:linePitch="573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原版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97205" cy="259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ordWrap w:val="0"/>
                            <w:ind w:left="320" w:leftChars="100" w:right="320" w:rightChars="100"/>
                            <w:jc w:val="right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39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EEdn0QAAAAMBAAAPAAAAAAAAAAEAIAAAACIA&#10;AABkcnMvZG93bnJldi54bWxQSwECFAAUAAAACACHTuJACrfwBRACAAAQBAAADgAAAAAAAAABACAA&#10;AAAg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ind w:left="320" w:leftChars="100" w:right="320" w:rightChars="100"/>
                      <w:jc w:val="right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5615" cy="259715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20.45pt;width:37.4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Oylc9EAAAADAQAADwAAAAAAAAABACAAAAAiAAAA&#10;ZHJzL2Rvd25yZXYueG1sUEsBAhQAFAAAAAgAh07iQHvdFVIOAgAAEQ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146810" cy="332105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left="320" w:leftChars="100" w:right="320" w:rightChars="100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0pt;height:26.15pt;width:90.3pt;mso-position-horizontal-relative:margin;z-index:251661312;mso-width-relative:page;mso-height-relative:page;" filled="f" stroked="f" coordsize="21600,21600" o:gfxdata="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OdIoNQAAAAEAQAADwAAAAAAAAABACAA&#10;AAAiAAAAZHJzL2Rvd25yZXYueG1sUEsBAhQAFAAAAAgAh07iQPzBbdgRAgAAEgQAAA4AAAAAAAAA&#10;AQAgAAAAI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ind w:left="320" w:leftChars="100" w:right="320" w:rightChars="100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4065"/>
        <w:tab w:val="left" w:pos="5210"/>
      </w:tabs>
      <w:jc w:val="left"/>
    </w:pPr>
    <w:r>
      <w:rPr>
        <w:rFonts w:hint="eastAsia"/>
      </w:rPr>
      <w:tab/>
    </w:r>
    <w: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6D77"/>
    <w:rsid w:val="00006D77"/>
    <w:rsid w:val="00046D2A"/>
    <w:rsid w:val="00197CD9"/>
    <w:rsid w:val="002B5657"/>
    <w:rsid w:val="00313568"/>
    <w:rsid w:val="00336CEB"/>
    <w:rsid w:val="00371A3B"/>
    <w:rsid w:val="003E2FEA"/>
    <w:rsid w:val="004C52F6"/>
    <w:rsid w:val="00587462"/>
    <w:rsid w:val="00696943"/>
    <w:rsid w:val="009310A2"/>
    <w:rsid w:val="0093320E"/>
    <w:rsid w:val="009E31B1"/>
    <w:rsid w:val="00A02358"/>
    <w:rsid w:val="00A56B83"/>
    <w:rsid w:val="00A81AD5"/>
    <w:rsid w:val="00BA3A28"/>
    <w:rsid w:val="00BA73C9"/>
    <w:rsid w:val="00BD5DAF"/>
    <w:rsid w:val="00DC6DD0"/>
    <w:rsid w:val="00E52B50"/>
    <w:rsid w:val="00F44377"/>
    <w:rsid w:val="084668D3"/>
    <w:rsid w:val="15916DD0"/>
    <w:rsid w:val="18C15C1F"/>
    <w:rsid w:val="1AC71143"/>
    <w:rsid w:val="26D9009F"/>
    <w:rsid w:val="3D192329"/>
    <w:rsid w:val="3F776396"/>
    <w:rsid w:val="5A3226B9"/>
    <w:rsid w:val="5B3D7C9E"/>
    <w:rsid w:val="5E023994"/>
    <w:rsid w:val="5E77A498"/>
    <w:rsid w:val="5F5BB225"/>
    <w:rsid w:val="68E92A26"/>
    <w:rsid w:val="7A736073"/>
    <w:rsid w:val="7B9F15A6"/>
    <w:rsid w:val="7DB7D8E4"/>
    <w:rsid w:val="7F72CD8E"/>
    <w:rsid w:val="D7DBFD78"/>
    <w:rsid w:val="F53EAF4F"/>
    <w:rsid w:val="FDE39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unhideWhenUsed/>
    <w:qFormat/>
    <w:uiPriority w:val="0"/>
    <w:pPr>
      <w:spacing w:after="160" w:line="278" w:lineRule="auto"/>
      <w:ind w:left="1000" w:leftChars="1000"/>
    </w:pPr>
    <w:rPr>
      <w:rFonts w:ascii="Calibri" w:hAnsi="Calibri" w:eastAsia="宋体"/>
      <w:kern w:val="2"/>
      <w:sz w:val="21"/>
      <w:szCs w:val="21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autoRedefine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1">
    <w:name w:val="2号小标宋"/>
    <w:basedOn w:val="1"/>
    <w:autoRedefine/>
    <w:uiPriority w:val="0"/>
    <w:pPr>
      <w:adjustRightInd w:val="0"/>
      <w:snapToGrid w:val="0"/>
      <w:spacing w:after="160" w:line="700" w:lineRule="exact"/>
      <w:jc w:val="center"/>
    </w:pPr>
    <w:rPr>
      <w:rFonts w:ascii="方正小标宋_GBK" w:hAnsi="方正小标宋_GBK" w:eastAsia="方正小标宋_GBK" w:cs="方正小标宋_GBK"/>
      <w:kern w:val="2"/>
      <w:sz w:val="44"/>
      <w:szCs w:val="22"/>
    </w:rPr>
  </w:style>
  <w:style w:type="paragraph" w:customStyle="1" w:styleId="12">
    <w:name w:val="正文-3号仿宋GB"/>
    <w:basedOn w:val="1"/>
    <w:autoRedefine/>
    <w:uiPriority w:val="0"/>
    <w:pPr>
      <w:adjustRightInd w:val="0"/>
      <w:snapToGrid w:val="0"/>
      <w:spacing w:after="160" w:line="600" w:lineRule="exact"/>
      <w:ind w:firstLine="856" w:firstLineChars="200"/>
    </w:pPr>
    <w:rPr>
      <w:rFonts w:ascii="楷体_GB2312" w:hAnsi="楷体_GB2312" w:cs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600</Words>
  <Characters>3420</Characters>
  <Lines>28</Lines>
  <Paragraphs>8</Paragraphs>
  <TotalTime>10</TotalTime>
  <ScaleCrop>false</ScaleCrop>
  <LinksUpToDate>false</LinksUpToDate>
  <CharactersWithSpaces>4012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2025-07-02T09:30:00Z</dcterms:created>
  <dc:creator>Administrator</dc:creator>
  <cp:lastModifiedBy>绿野仙踪</cp:lastModifiedBy>
  <cp:lastPrinted>2025-07-01T19:51:00Z</cp:lastPrinted>
  <dcterms:modified xsi:type="dcterms:W3CDTF">2025-07-14T05:00:26Z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eyJoZGlkIjoiZWU5NTc3ZTBlNThjZjI5MDAzOWE2ZDU5ZjlmMTBkMTciLCJ1c2VySWQiOiIzNzg3MTI5NzYifQ==</vt:lpwstr>
  </property>
  <property fmtid="{D5CDD505-2E9C-101B-9397-08002B2CF9AE}" pid="4" name="ICV">
    <vt:lpwstr>A86D1053336D462CAE4BB2185682C95A_13</vt:lpwstr>
  </property>
</Properties>
</file>